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Договор поставки № </w:t>
      </w:r>
      <w:r>
        <w:t xml:space="preserve">[номер]</w:t>
      </w:r>
    </w:p>
    <w:tbl>
      <w:tblPr>
        <w:tblW w:w="935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20" w:type="dxa"/>
          <w:right w:w="113" w:type="dxa"/>
        </w:tblCellMar>
        <w:tblLook w:val="04A0"/>
      </w:tblPr>
      <w:tblGrid>
        <w:gridCol w:w="4677"/>
        <w:gridCol w:w="4678"/>
      </w:tblGrid>
      <w:tr>
        <w:trPr>
          <w:cantSplit/>
        </w:trPr>
        <w:tc>
          <w:tcPr>
            <w:tcW w:w="4677" w:type="dxa"/>
          </w:tcPr>
          <w:p>
            <w:pPr>
              <w:spacing w:after="0"/>
              <w:jc w:val="left"/>
            </w:pPr>
            <w:r>
              <w:t xml:space="preserve">г. </w:t>
            </w:r>
            <w:r>
              <w:t xml:space="preserve">[Город]</w:t>
            </w:r>
          </w:p>
        </w:tc>
        <w:tc>
          <w:tcPr>
            <w:tcW w:w="4678" w:type="dxa"/>
          </w:tcPr>
          <w:p>
            <w:pPr>
              <w:spacing w:after="0"/>
              <w:jc w:val="right"/>
            </w:pPr>
            <w:r>
              <w:t xml:space="preserve">«___» __________ 2026 г.</w:t>
            </w:r>
          </w:p>
        </w:tc>
      </w:tr>
    </w:tbl>
    <w:p>
      <w:pPr>
        <w:spacing w:after="0"/>
      </w:pPr>
    </w:p>
    <w:p>
      <w:pPr>
        <w:jc w:val="both"/>
      </w:pPr>
      <w:r>
        <w:t xml:space="preserve">[Полное наименование организации или ИП ФИО]</w:t>
      </w:r>
      <w:r>
        <w:t xml:space="preserve">, ИНН </w:t>
      </w:r>
      <w:r>
        <w:t xml:space="preserve">[ИНН]</w:t>
      </w:r>
      <w:r>
        <w:t xml:space="preserve">, ОГРН / ОГРНИП </w:t>
      </w:r>
      <w:r>
        <w:t xml:space="preserve">[номер]</w:t>
      </w:r>
      <w:r>
        <w:t xml:space="preserve">, в лице </w:t>
      </w:r>
      <w:r>
        <w:t xml:space="preserve">[должность и ФИО подписанта]</w:t>
      </w:r>
      <w:r>
        <w:t xml:space="preserve">, действующего на основании </w:t>
      </w:r>
      <w:r>
        <w:t xml:space="preserve">[устава / доверенности № … от … / для ИП — ОГРНИП]</w:t>
      </w:r>
      <w:r>
        <w:t xml:space="preserve">, именуемое(-ый) в дальнейшем «Поставщик», с одной стороны, и </w:t>
      </w:r>
      <w:r>
        <w:t xml:space="preserve">[Полное наименование организации или ИП ФИО]</w:t>
      </w:r>
      <w:r>
        <w:t xml:space="preserve">, ИНН </w:t>
      </w:r>
      <w:r>
        <w:t xml:space="preserve">[ИНН]</w:t>
      </w:r>
      <w:r>
        <w:t xml:space="preserve">, ОГРН / ОГРНИП </w:t>
      </w:r>
      <w:r>
        <w:t xml:space="preserve">[номер]</w:t>
      </w:r>
      <w:r>
        <w:t xml:space="preserve">, в лице </w:t>
      </w:r>
      <w:r>
        <w:t xml:space="preserve">[должность и ФИО подписанта]</w:t>
      </w:r>
      <w:r>
        <w:t xml:space="preserve">, действующего на основании </w:t>
      </w:r>
      <w:r>
        <w:t xml:space="preserve">[устава / доверенности № … от … / для ИП — ОГРНИП]</w:t>
      </w:r>
      <w:r>
        <w:t xml:space="preserve">, именуемое(-ый) в дальнейшем «Покупатель», с другой стороны, вместе именуемые «Стороны», заключили настоящий договор (далее — «Договор») о нижеследующем.</w:t>
      </w:r>
    </w:p>
    <w:p>
      <w:pPr>
        <w:pStyle w:val="Heading2"/>
      </w:pPr>
      <w:r>
        <w:t xml:space="preserve">1. Предмет Договора</w:t>
      </w:r>
    </w:p>
    <w:p>
      <w:pPr>
        <w:jc w:val="both"/>
      </w:pPr>
      <w:r>
        <w:t xml:space="preserve">1.1. Поставщик обязуется передавать в собственность Покупателя товар для использования в предпринимательской деятельности, а Покупатель — принимать и оплачивать его.</w:t>
      </w:r>
    </w:p>
    <w:p>
      <w:pPr>
        <w:jc w:val="both"/>
      </w:pPr>
      <w:r>
        <w:t xml:space="preserve">1.2. Наименование, ассортимент, количество и цена товара, сроки и условия поставки каждой партии согласуются в спецификациях (Приложение № 1) или в заявках Покупателя, принятых Поставщиком. Спецификации и принятые заявки являются неотъемлемой частью Договора.</w:t>
      </w:r>
    </w:p>
    <w:p>
      <w:pPr>
        <w:jc w:val="both"/>
      </w:pPr>
      <w:r>
        <w:t xml:space="preserve">1.3. Поставщик гарантирует, что товар принадлежит ему на праве собственности, не заложен, не находится под арестом и свободен от прав третьих лиц.</w:t>
      </w:r>
    </w:p>
    <w:p>
      <w:pPr>
        <w:pStyle w:val="Heading2"/>
      </w:pPr>
      <w:r>
        <w:t xml:space="preserve">2. Качество и комплектность товара</w:t>
      </w:r>
    </w:p>
    <w:p>
      <w:pPr>
        <w:jc w:val="both"/>
      </w:pPr>
      <w:r>
        <w:t xml:space="preserve">2.1. Качество товара должно соответствовать </w:t>
      </w:r>
      <w:r>
        <w:t xml:space="preserve">[ГОСТ / ТУ / техническим регламентам ЕАЭС / образцам, согласованным Сторонами]</w:t>
      </w:r>
      <w:r>
        <w:t xml:space="preserve"> и подтверждаться </w:t>
      </w:r>
      <w:r>
        <w:t xml:space="preserve">[декларацией о соответствии / сертификатом / паспортом качества]</w:t>
      </w:r>
      <w:r>
        <w:t xml:space="preserve">, копии которых передаются вместе с товаром.</w:t>
      </w:r>
    </w:p>
    <w:p>
      <w:pPr>
        <w:jc w:val="both"/>
      </w:pPr>
      <w:r>
        <w:t xml:space="preserve">2.2. Гарантийный срок на товар — </w:t>
      </w:r>
      <w:r>
        <w:t xml:space="preserve">[срок]</w:t>
      </w:r>
      <w:r>
        <w:t xml:space="preserve"> с даты поставки, если больший срок не установлен изготовителем.</w:t>
      </w:r>
    </w:p>
    <w:p>
      <w:pPr>
        <w:jc w:val="both"/>
      </w:pPr>
      <w:r>
        <w:t xml:space="preserve">2.3. Если товар подлежит обязательной маркировке средствами идентификации, Поставщик передаёт его с нанесёнными кодами маркировки и оформляет передачу в государственной информационной системе мониторинга («Честный знак») через оператора электронного документооборота.</w:t>
      </w:r>
    </w:p>
    <w:p>
      <w:pPr>
        <w:pStyle w:val="Heading2"/>
      </w:pPr>
      <w:r>
        <w:t xml:space="preserve">3. Цена и порядок расчётов</w:t>
      </w:r>
    </w:p>
    <w:p>
      <w:pPr>
        <w:jc w:val="both"/>
      </w:pPr>
      <w:r>
        <w:t xml:space="preserve">3.1. Цена товара указывается в спецификации и включает стоимость тары, упаковки и маркировки, </w:t>
      </w:r>
      <w:r>
        <w:t xml:space="preserve">[включает / не включает]</w:t>
      </w:r>
      <w:r>
        <w:t xml:space="preserve"> стоимость доставки до склада Покупателя. </w:t>
      </w:r>
      <w:r>
        <w:t xml:space="preserve">[В цену включён НДС по ставке … % / НДС не облагается — укажите основание]</w:t>
      </w:r>
      <w:r>
        <w:t xml:space="preserve">.</w:t>
      </w:r>
    </w:p>
    <w:p>
      <w:pPr>
        <w:jc w:val="both"/>
      </w:pPr>
      <w:r>
        <w:t xml:space="preserve">3.2. Покупатель оплачивает каждую партию </w:t>
      </w:r>
      <w:r>
        <w:t xml:space="preserve">[в течение … календарных дней с даты поставки / 100 % предоплатой в течение … рабочих дней с даты выставления счёта / авансом … % и оставшейся частью в течение … дней после поставки]</w:t>
      </w:r>
      <w:r>
        <w:t xml:space="preserve">.</w:t>
      </w:r>
    </w:p>
    <w:p>
      <w:pPr>
        <w:jc w:val="both"/>
      </w:pPr>
      <w:r>
        <w:t xml:space="preserve">3.3. Обязательство по оплате считается исполненным с момента зачисления денежных средств на корреспондентский счёт банка Поставщика.</w:t>
      </w:r>
    </w:p>
    <w:p>
      <w:pPr>
        <w:jc w:val="both"/>
      </w:pPr>
      <w:r>
        <w:t xml:space="preserve">3.4. Цена оплаченной партии товара изменению не подлежит.</w:t>
      </w:r>
    </w:p>
    <w:p>
      <w:pPr>
        <w:pStyle w:val="Heading2"/>
      </w:pPr>
      <w:r>
        <w:t xml:space="preserve">4. Порядок и сроки поставки</w:t>
      </w:r>
    </w:p>
    <w:p>
      <w:pPr>
        <w:jc w:val="both"/>
      </w:pPr>
      <w:r>
        <w:t xml:space="preserve">4.1. Поставка осуществляется партиями в сроки, указанные в спецификации. Если срок в спецификации не указан — в течение </w:t>
      </w:r>
      <w:r>
        <w:t xml:space="preserve">[10]</w:t>
      </w:r>
      <w:r>
        <w:t xml:space="preserve"> рабочих дней с даты согласования заявки.</w:t>
      </w:r>
    </w:p>
    <w:p>
      <w:pPr>
        <w:jc w:val="both"/>
      </w:pPr>
      <w:r>
        <w:t xml:space="preserve">4.2. Способ поставки: </w:t>
      </w:r>
      <w:r>
        <w:t xml:space="preserve">[доставка транспортом Поставщика до склада Покупателя по адресу: … / самовывоз со склада Поставщика по адресу: … / через транспортную компанию …]</w:t>
      </w:r>
      <w:r>
        <w:t xml:space="preserve">.</w:t>
      </w:r>
    </w:p>
    <w:p>
      <w:pPr>
        <w:jc w:val="both"/>
      </w:pPr>
      <w:r>
        <w:t xml:space="preserve">4.3. Датой поставки считается дата подписания Покупателем </w:t>
      </w:r>
      <w:r>
        <w:t xml:space="preserve">[универсального передаточного документа (УПД) / товарной накладной]</w:t>
      </w:r>
      <w:r>
        <w:t xml:space="preserve">.</w:t>
      </w:r>
    </w:p>
    <w:p>
      <w:pPr>
        <w:jc w:val="both"/>
      </w:pPr>
      <w:r>
        <w:t xml:space="preserve">4.4. Право собственности на товар и риск его случайной гибели или повреждения переходят к Покупателю в момент передачи товара и подписания УПД (товарной накладной).</w:t>
      </w:r>
    </w:p>
    <w:p>
      <w:pPr>
        <w:jc w:val="both"/>
      </w:pPr>
      <w:r>
        <w:t xml:space="preserve">4.5. Вместе с товаром Поставщик передаёт: УПД или товарную накладную и счёт-фактуру (если Поставщик — плательщик НДС), документы о качестве, а для маркированного товара — сведения о кодах маркировки.</w:t>
      </w:r>
    </w:p>
    <w:p>
      <w:pPr>
        <w:jc w:val="both"/>
      </w:pPr>
      <w:r>
        <w:t xml:space="preserve">4.6. Досрочная поставка допускается только с согласия Покупателя.</w:t>
      </w:r>
    </w:p>
    <w:p>
      <w:pPr>
        <w:pStyle w:val="Heading2"/>
      </w:pPr>
      <w:r>
        <w:t xml:space="preserve">5. Приёмка товара</w:t>
      </w:r>
    </w:p>
    <w:p>
      <w:pPr>
        <w:jc w:val="both"/>
      </w:pPr>
      <w:r>
        <w:t xml:space="preserve">5.1. Покупатель проверяет количество, ассортимент, комплектность и качество товара по внешним признакам в момент получения товара.</w:t>
      </w:r>
    </w:p>
    <w:p>
      <w:pPr>
        <w:jc w:val="both"/>
      </w:pPr>
      <w:r>
        <w:t xml:space="preserve">5.2. Скрытые недостатки, которые невозможно обнаружить при обычной приёмке, Покупатель вправе заявить в течение </w:t>
      </w:r>
      <w:r>
        <w:t xml:space="preserve">[30]</w:t>
      </w:r>
      <w:r>
        <w:t xml:space="preserve"> календарных дней с даты поставки, а на товар с гарантийным сроком — в течение гарантийного срока.</w:t>
      </w:r>
    </w:p>
    <w:p>
      <w:pPr>
        <w:jc w:val="both"/>
      </w:pPr>
      <w:r>
        <w:t xml:space="preserve">5.3. При обнаружении несоответствия по количеству, ассортименту или качеству Покупатель составляет акт о расхождениях и в течение </w:t>
      </w:r>
      <w:r>
        <w:t xml:space="preserve">[2]</w:t>
      </w:r>
      <w:r>
        <w:t xml:space="preserve"> рабочих дней уведомляет Поставщика, приглашая его представителя. Если представитель не прибыл в течение </w:t>
      </w:r>
      <w:r>
        <w:t xml:space="preserve">[3]</w:t>
      </w:r>
      <w:r>
        <w:t xml:space="preserve"> рабочих дней, акт составляется Покупателем в одностороннем порядке и является основанием для предъявления требований.</w:t>
      </w:r>
    </w:p>
    <w:p>
      <w:pPr>
        <w:jc w:val="both"/>
      </w:pPr>
      <w:r>
        <w:t xml:space="preserve">5.4. Некачественный товар Поставщик заменяет, а недопоставленный — допоставляет в течение </w:t>
      </w:r>
      <w:r>
        <w:t xml:space="preserve">[10]</w:t>
      </w:r>
      <w:r>
        <w:t xml:space="preserve"> рабочих дней с даты получения требования, если Покупатель не заявил об отказе от такого товара (ст. 511, 518 ГК РФ).</w:t>
      </w:r>
    </w:p>
    <w:p>
      <w:pPr>
        <w:jc w:val="both"/>
      </w:pPr>
      <w:r>
        <w:t xml:space="preserve">5.5. Если Покупатель отказывается от переданного товара, он обеспечивает его сохранность (ответственное хранение) и незамедлительно уведомляет Поставщика (ст. 514 ГК РФ). Поставщик вывозит товар за свой счёт в течение </w:t>
      </w:r>
      <w:r>
        <w:t xml:space="preserve">[10]</w:t>
      </w:r>
      <w:r>
        <w:t xml:space="preserve"> рабочих дней с даты получения уведомления.</w:t>
      </w:r>
    </w:p>
    <w:p>
      <w:pPr>
        <w:pStyle w:val="Heading2"/>
      </w:pPr>
      <w:r>
        <w:t xml:space="preserve">6. Тара и упаковка</w:t>
      </w:r>
    </w:p>
    <w:p>
      <w:pPr>
        <w:jc w:val="both"/>
      </w:pPr>
      <w:r>
        <w:t xml:space="preserve">6.1. Товар поставляется в таре и упаковке, обеспечивающих его сохранность при транспортировке и хранении. Стоимость одноразовой тары включена в цену товара.</w:t>
      </w:r>
    </w:p>
    <w:p>
      <w:pPr>
        <w:jc w:val="both"/>
      </w:pPr>
      <w:r>
        <w:t xml:space="preserve">6.2. Многооборотная тара </w:t>
      </w:r>
      <w:r>
        <w:t xml:space="preserve">[подлежит возврату Поставщику в течение … / возврату не подлежит]</w:t>
      </w:r>
      <w:r>
        <w:t xml:space="preserve"> (ст. 517 ГК РФ).</w:t>
      </w:r>
    </w:p>
    <w:p>
      <w:pPr>
        <w:pStyle w:val="Heading2"/>
      </w:pPr>
      <w:r>
        <w:t xml:space="preserve">7. Ответственность Сторон</w:t>
      </w:r>
    </w:p>
    <w:p>
      <w:pPr>
        <w:jc w:val="both"/>
      </w:pPr>
      <w:r>
        <w:t xml:space="preserve">7.1. За просрочку поставки или недопоставку товара Поставщик уплачивает неустойку в размере </w:t>
      </w:r>
      <w:r>
        <w:t xml:space="preserve">[0,1]</w:t>
      </w:r>
      <w:r>
        <w:t xml:space="preserve"> % от стоимости непоставленного в срок товара за каждый день просрочки, но не более </w:t>
      </w:r>
      <w:r>
        <w:t xml:space="preserve">[10]</w:t>
      </w:r>
      <w:r>
        <w:t xml:space="preserve"> % от стоимости такого товара.</w:t>
      </w:r>
    </w:p>
    <w:p>
      <w:pPr>
        <w:jc w:val="both"/>
      </w:pPr>
      <w:r>
        <w:t xml:space="preserve">7.2. За просрочку оплаты Покупатель уплачивает неустойку в размере </w:t>
      </w:r>
      <w:r>
        <w:t xml:space="preserve">[0,1]</w:t>
      </w:r>
      <w:r>
        <w:t xml:space="preserve"> % от неоплаченной суммы за каждый день просрочки, но не более </w:t>
      </w:r>
      <w:r>
        <w:t xml:space="preserve">[10]</w:t>
      </w:r>
      <w:r>
        <w:t xml:space="preserve"> % от этой суммы.</w:t>
      </w:r>
    </w:p>
    <w:p>
      <w:pPr>
        <w:jc w:val="both"/>
      </w:pPr>
      <w:r>
        <w:t xml:space="preserve">7.3. Уплата неустойки не освобождает Стороны от исполнения обязательств и от возмещения убытков в части, не покрытой неустойкой.</w:t>
      </w:r>
    </w:p>
    <w:p>
      <w:pPr>
        <w:jc w:val="both"/>
      </w:pPr>
      <w:r>
        <w:t xml:space="preserve">7.4. Сторона освобождается от ответственности, если докажет, что нарушение произошло вследствие непреодолимой силы (п. 3 ст. 401 ГК РФ), при условии письменного уведомления другой Стороны в течение </w:t>
      </w:r>
      <w:r>
        <w:t xml:space="preserve">[5]</w:t>
      </w:r>
      <w:r>
        <w:t xml:space="preserve"> рабочих дней с момента наступления таких обстоятельств.</w:t>
      </w:r>
    </w:p>
    <w:p>
      <w:pPr>
        <w:pStyle w:val="Heading2"/>
      </w:pPr>
      <w:r>
        <w:t xml:space="preserve">8. Изменение, расторжение и односторонний отказ</w:t>
      </w:r>
    </w:p>
    <w:p>
      <w:pPr>
        <w:jc w:val="both"/>
      </w:pPr>
      <w:r>
        <w:t xml:space="preserve">8.1. Договор может быть изменён или расторгнут по соглашению Сторон в письменной форме.</w:t>
      </w:r>
    </w:p>
    <w:p>
      <w:pPr>
        <w:jc w:val="both"/>
      </w:pPr>
      <w:r>
        <w:t xml:space="preserve">8.2. Сторона вправе отказаться от исполнения Договора в одностороннем порядке при его существенном нарушении другой Стороной (ст. 523 ГК РФ), в том числе при неоднократном нарушении сроков поставки или оплаты. Договор считается расторгнутым с момента получения другой Стороной уведомления об отказе.</w:t>
      </w:r>
    </w:p>
    <w:p>
      <w:pPr>
        <w:pStyle w:val="Heading2"/>
      </w:pPr>
      <w:r>
        <w:t xml:space="preserve">9. Разрешение споров</w:t>
      </w:r>
    </w:p>
    <w:p>
      <w:pPr>
        <w:jc w:val="both"/>
      </w:pPr>
      <w:r>
        <w:t xml:space="preserve">9.1. Претензионный порядок урегулирования споров обязателен. Срок рассмотрения претензии — </w:t>
      </w:r>
      <w:r>
        <w:t xml:space="preserve">[10]</w:t>
      </w:r>
      <w:r>
        <w:t xml:space="preserve"> рабочих дней с даты её получения.</w:t>
      </w:r>
    </w:p>
    <w:p>
      <w:pPr>
        <w:jc w:val="both"/>
      </w:pPr>
      <w:r>
        <w:t xml:space="preserve">9.2. Споры, не урегулированные в претензионном порядке, рассматриваются в </w:t>
      </w:r>
      <w:r>
        <w:t xml:space="preserve">[Арбитражный суд … — укажите конкретный суд]</w:t>
      </w:r>
      <w:r>
        <w:t xml:space="preserve">.</w:t>
      </w:r>
    </w:p>
    <w:p>
      <w:pPr>
        <w:pStyle w:val="Heading2"/>
      </w:pPr>
      <w:r>
        <w:t xml:space="preserve">10. Срок действия Договора</w:t>
      </w:r>
    </w:p>
    <w:p>
      <w:pPr>
        <w:jc w:val="both"/>
      </w:pPr>
      <w:r>
        <w:t xml:space="preserve">10.1. Договор вступает в силу с даты подписания и действует до «31» декабря 2026 г. Если ни одна из Сторон за </w:t>
      </w:r>
      <w:r>
        <w:t xml:space="preserve">[30]</w:t>
      </w:r>
      <w:r>
        <w:t xml:space="preserve"> календарных дней до окончания срока письменно не заявит о прекращении Договора, он считается продлённым на каждый следующий календарный год.</w:t>
      </w:r>
    </w:p>
    <w:p>
      <w:pPr>
        <w:jc w:val="both"/>
      </w:pPr>
      <w:r>
        <w:t xml:space="preserve">10.2. Окончание срока действия Договора не освобождает Стороны от исполнения обязательств, возникших в период его действия.</w:t>
      </w:r>
    </w:p>
    <w:p>
      <w:pPr>
        <w:pStyle w:val="Heading2"/>
      </w:pPr>
      <w:r>
        <w:t xml:space="preserve">11. Обмен документами</w:t>
      </w:r>
    </w:p>
    <w:p>
      <w:pPr>
        <w:jc w:val="both"/>
      </w:pPr>
      <w:r>
        <w:t xml:space="preserve">11.1. Стороны обмениваются УПД, актами, счетами-фактурами и уведомлениями </w:t>
      </w:r>
      <w:r>
        <w:t xml:space="preserve">[через оператора электронного документооборота с использованием усиленной квалифицированной электронной подписи / на бумажном носителе]</w:t>
      </w:r>
      <w:r>
        <w:t xml:space="preserve">.</w:t>
      </w:r>
    </w:p>
    <w:p>
      <w:pPr>
        <w:jc w:val="both"/>
      </w:pPr>
      <w:r>
        <w:t xml:space="preserve">11.2. Претензии и уведомления также могут направляться по адресам электронной почты, указанным в разделе 12. Сообщение считается полученным на следующий рабочий день после отправки.</w:t>
      </w:r>
    </w:p>
    <w:p>
      <w:pPr>
        <w:pStyle w:val="Heading2"/>
      </w:pPr>
      <w:r>
        <w:t xml:space="preserve">12. Реквизиты и подписи Сторон</w:t>
      </w:r>
    </w:p>
    <w:tbl>
      <w:tblPr>
        <w:tblW w:w="935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20" w:type="dxa"/>
          <w:right w:w="113" w:type="dxa"/>
        </w:tblCellMar>
        <w:tblLook w:val="04A0"/>
      </w:tblPr>
      <w:tblGrid>
        <w:gridCol w:w="4677"/>
        <w:gridCol w:w="4678"/>
      </w:tblGrid>
      <w:tr>
        <w:trPr>
          <w:cantSplit/>
        </w:trPr>
        <w:tc>
          <w:tcPr>
            <w:tcW w:w="4677" w:type="dxa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Поставщик</w:t>
            </w:r>
          </w:p>
        </w:tc>
        <w:tc>
          <w:tcPr>
            <w:tcW w:w="4678" w:type="dxa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Покупатель</w:t>
            </w:r>
          </w:p>
        </w:tc>
      </w:tr>
      <w:tr>
        <w:trPr>
          <w:cantSplit/>
        </w:trPr>
        <w:tc>
          <w:tcPr>
            <w:tcW w:w="4677" w:type="dxa"/>
          </w:tcPr>
          <w:p>
            <w:pPr>
              <w:spacing w:after="0"/>
              <w:jc w:val="left"/>
            </w:pPr>
            <w:r>
              <w:t xml:space="preserve">[Наименование организации / ИП ФИО]</w:t>
            </w:r>
          </w:p>
        </w:tc>
        <w:tc>
          <w:tcPr>
            <w:tcW w:w="4678" w:type="dxa"/>
          </w:tcPr>
          <w:p>
            <w:pPr>
              <w:spacing w:after="0"/>
              <w:jc w:val="left"/>
            </w:pPr>
            <w:r>
              <w:t xml:space="preserve">[Наименование организации / ИП ФИО]</w:t>
            </w:r>
          </w:p>
        </w:tc>
      </w:tr>
      <w:tr>
        <w:trPr>
          <w:cantSplit/>
        </w:trPr>
        <w:tc>
          <w:tcPr>
            <w:tcW w:w="4677" w:type="dxa"/>
          </w:tcPr>
          <w:p>
            <w:pPr>
              <w:spacing w:after="0"/>
              <w:jc w:val="left"/>
            </w:pPr>
            <w:r>
              <w:t xml:space="preserve">ИНН </w:t>
            </w:r>
            <w:r>
              <w:t xml:space="preserve">[ИНН]</w:t>
            </w:r>
            <w:r>
              <w:t xml:space="preserve">, КПП </w:t>
            </w:r>
            <w:r>
              <w:t xml:space="preserve">[КПП — для организаций]</w:t>
            </w:r>
          </w:p>
        </w:tc>
        <w:tc>
          <w:tcPr>
            <w:tcW w:w="4678" w:type="dxa"/>
          </w:tcPr>
          <w:p>
            <w:pPr>
              <w:spacing w:after="0"/>
              <w:jc w:val="left"/>
            </w:pPr>
            <w:r>
              <w:t xml:space="preserve">ИНН </w:t>
            </w:r>
            <w:r>
              <w:t xml:space="preserve">[ИНН]</w:t>
            </w:r>
            <w:r>
              <w:t xml:space="preserve">, КПП </w:t>
            </w:r>
            <w:r>
              <w:t xml:space="preserve">[КПП — для организаций]</w:t>
            </w:r>
          </w:p>
        </w:tc>
      </w:tr>
      <w:tr>
        <w:trPr>
          <w:cantSplit/>
        </w:trPr>
        <w:tc>
          <w:tcPr>
            <w:tcW w:w="4677" w:type="dxa"/>
          </w:tcPr>
          <w:p>
            <w:pPr>
              <w:spacing w:after="0"/>
              <w:jc w:val="left"/>
            </w:pPr>
            <w:r>
              <w:t xml:space="preserve">ОГРН / ОГРНИП </w:t>
            </w:r>
            <w:r>
              <w:t xml:space="preserve">[номер]</w:t>
            </w:r>
          </w:p>
        </w:tc>
        <w:tc>
          <w:tcPr>
            <w:tcW w:w="4678" w:type="dxa"/>
          </w:tcPr>
          <w:p>
            <w:pPr>
              <w:spacing w:after="0"/>
              <w:jc w:val="left"/>
            </w:pPr>
            <w:r>
              <w:t xml:space="preserve">ОГРН / ОГРНИП </w:t>
            </w:r>
            <w:r>
              <w:t xml:space="preserve">[номер]</w:t>
            </w:r>
          </w:p>
        </w:tc>
      </w:tr>
      <w:tr>
        <w:trPr>
          <w:cantSplit/>
        </w:trPr>
        <w:tc>
          <w:tcPr>
            <w:tcW w:w="4677" w:type="dxa"/>
          </w:tcPr>
          <w:p>
            <w:pPr>
              <w:spacing w:after="0"/>
              <w:jc w:val="left"/>
            </w:pPr>
            <w:r>
              <w:t xml:space="preserve">Адрес: </w:t>
            </w:r>
            <w:r>
              <w:t xml:space="preserve">[адрес по ЕГРЮЛ / ЕГРИП]</w:t>
            </w:r>
          </w:p>
        </w:tc>
        <w:tc>
          <w:tcPr>
            <w:tcW w:w="4678" w:type="dxa"/>
          </w:tcPr>
          <w:p>
            <w:pPr>
              <w:spacing w:after="0"/>
              <w:jc w:val="left"/>
            </w:pPr>
            <w:r>
              <w:t xml:space="preserve">Адрес: </w:t>
            </w:r>
            <w:r>
              <w:t xml:space="preserve">[адрес по ЕГРЮЛ / ЕГРИП]</w:t>
            </w:r>
          </w:p>
        </w:tc>
      </w:tr>
      <w:tr>
        <w:trPr>
          <w:cantSplit/>
        </w:trPr>
        <w:tc>
          <w:tcPr>
            <w:tcW w:w="4677" w:type="dxa"/>
          </w:tcPr>
          <w:p>
            <w:pPr>
              <w:spacing w:after="0"/>
              <w:jc w:val="left"/>
            </w:pPr>
            <w:r>
              <w:t xml:space="preserve">Р/с </w:t>
            </w:r>
            <w:r>
              <w:t xml:space="preserve">[номер]</w:t>
            </w:r>
            <w:r>
              <w:t xml:space="preserve"> в </w:t>
            </w:r>
            <w:r>
              <w:t xml:space="preserve">[банк]</w:t>
            </w:r>
          </w:p>
        </w:tc>
        <w:tc>
          <w:tcPr>
            <w:tcW w:w="4678" w:type="dxa"/>
          </w:tcPr>
          <w:p>
            <w:pPr>
              <w:spacing w:after="0"/>
              <w:jc w:val="left"/>
            </w:pPr>
            <w:r>
              <w:t xml:space="preserve">Р/с </w:t>
            </w:r>
            <w:r>
              <w:t xml:space="preserve">[номер]</w:t>
            </w:r>
            <w:r>
              <w:t xml:space="preserve"> в </w:t>
            </w:r>
            <w:r>
              <w:t xml:space="preserve">[банк]</w:t>
            </w:r>
          </w:p>
        </w:tc>
      </w:tr>
      <w:tr>
        <w:trPr>
          <w:cantSplit/>
        </w:trPr>
        <w:tc>
          <w:tcPr>
            <w:tcW w:w="4677" w:type="dxa"/>
          </w:tcPr>
          <w:p>
            <w:pPr>
              <w:spacing w:after="0"/>
              <w:jc w:val="left"/>
            </w:pPr>
            <w:r>
              <w:t xml:space="preserve">К/с </w:t>
            </w:r>
            <w:r>
              <w:t xml:space="preserve">[номер]</w:t>
            </w:r>
            <w:r>
              <w:t xml:space="preserve">, БИК </w:t>
            </w:r>
            <w:r>
              <w:t xml:space="preserve">[БИК]</w:t>
            </w:r>
          </w:p>
        </w:tc>
        <w:tc>
          <w:tcPr>
            <w:tcW w:w="4678" w:type="dxa"/>
          </w:tcPr>
          <w:p>
            <w:pPr>
              <w:spacing w:after="0"/>
              <w:jc w:val="left"/>
            </w:pPr>
            <w:r>
              <w:t xml:space="preserve">К/с </w:t>
            </w:r>
            <w:r>
              <w:t xml:space="preserve">[номер]</w:t>
            </w:r>
            <w:r>
              <w:t xml:space="preserve">, БИК </w:t>
            </w:r>
            <w:r>
              <w:t xml:space="preserve">[БИК]</w:t>
            </w:r>
          </w:p>
        </w:tc>
      </w:tr>
      <w:tr>
        <w:trPr>
          <w:cantSplit/>
        </w:trPr>
        <w:tc>
          <w:tcPr>
            <w:tcW w:w="4677" w:type="dxa"/>
          </w:tcPr>
          <w:p>
            <w:pPr>
              <w:spacing w:after="0"/>
              <w:jc w:val="left"/>
            </w:pPr>
            <w:r>
              <w:t xml:space="preserve">E-mail для документов: </w:t>
            </w:r>
            <w:r>
              <w:t xml:space="preserve">[адрес]</w:t>
            </w:r>
          </w:p>
        </w:tc>
        <w:tc>
          <w:tcPr>
            <w:tcW w:w="4678" w:type="dxa"/>
          </w:tcPr>
          <w:p>
            <w:pPr>
              <w:spacing w:after="0"/>
              <w:jc w:val="left"/>
            </w:pPr>
            <w:r>
              <w:t xml:space="preserve">E-mail для документов: </w:t>
            </w:r>
            <w:r>
              <w:t xml:space="preserve">[адрес]</w:t>
            </w:r>
          </w:p>
        </w:tc>
      </w:tr>
      <w:tr>
        <w:trPr>
          <w:cantSplit/>
        </w:trPr>
        <w:tc>
          <w:tcPr>
            <w:tcW w:w="4677" w:type="dxa"/>
          </w:tcPr>
          <w:p>
            <w:pPr>
              <w:spacing w:after="0"/>
              <w:jc w:val="left"/>
            </w:pPr>
            <w:r>
              <w:t xml:space="preserve">[Должность подписанта]</w:t>
            </w:r>
          </w:p>
        </w:tc>
        <w:tc>
          <w:tcPr>
            <w:tcW w:w="4678" w:type="dxa"/>
          </w:tcPr>
          <w:p>
            <w:pPr>
              <w:spacing w:after="0"/>
              <w:jc w:val="left"/>
            </w:pPr>
            <w:r>
              <w:t xml:space="preserve">[Должность подписанта]</w:t>
            </w:r>
          </w:p>
        </w:tc>
      </w:tr>
      <w:tr>
        <w:trPr>
          <w:cantSplit/>
        </w:trPr>
        <w:tc>
          <w:tcPr>
            <w:tcW w:w="4677" w:type="dxa"/>
          </w:tcPr>
          <w:p>
            <w:pPr>
              <w:spacing w:after="0"/>
              <w:jc w:val="left"/>
            </w:pPr>
            <w:r>
              <w:t xml:space="preserve">____________ / </w:t>
            </w:r>
            <w:r>
              <w:t xml:space="preserve">[И. О. Фамилия]</w:t>
            </w:r>
            <w:r>
              <w:t xml:space="preserve"> /</w:t>
            </w:r>
          </w:p>
        </w:tc>
        <w:tc>
          <w:tcPr>
            <w:tcW w:w="4678" w:type="dxa"/>
          </w:tcPr>
          <w:p>
            <w:pPr>
              <w:spacing w:after="0"/>
              <w:jc w:val="left"/>
            </w:pPr>
            <w:r>
              <w:t xml:space="preserve">____________ / </w:t>
            </w:r>
            <w:r>
              <w:t xml:space="preserve">[И. О. Фамилия]</w:t>
            </w:r>
            <w:r>
              <w:t xml:space="preserve"> /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Title"/>
      </w:pPr>
      <w:r>
        <w:t xml:space="preserve">Приложение № 1</w:t>
      </w:r>
    </w:p>
    <w:p>
      <w:pPr>
        <w:jc w:val="center"/>
      </w:pPr>
      <w:r>
        <w:t xml:space="preserve">к Договору поставки № </w:t>
      </w:r>
      <w:r>
        <w:t xml:space="preserve">[номер]</w:t>
      </w:r>
      <w:r>
        <w:t xml:space="preserve"> от «___» __________ 2026 г.</w:t>
      </w:r>
    </w:p>
    <w:p>
      <w:pPr>
        <w:jc w:val="center"/>
      </w:pPr>
      <w:r>
        <w:rPr>
          <w:b/>
          <w:bCs/>
        </w:rPr>
        <w:t xml:space="preserve">Спецификация № </w:t>
      </w:r>
      <w:r>
        <w:rPr>
          <w:b/>
          <w:bCs/>
        </w:rPr>
        <w:t xml:space="preserve">[номер]</w:t>
      </w:r>
    </w:p>
    <w:tbl>
      <w:tblPr>
        <w:tblW w:w="9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/>
      </w:tblPr>
      <w:tblGrid>
        <w:gridCol w:w="466"/>
        <w:gridCol w:w="2483"/>
        <w:gridCol w:w="1045"/>
        <w:gridCol w:w="784"/>
        <w:gridCol w:w="1829"/>
        <w:gridCol w:w="1045"/>
        <w:gridCol w:w="1703"/>
      </w:tblGrid>
      <w:tr>
        <w:trPr>
          <w:tblHeader/>
        </w:trPr>
        <w:tc>
          <w:tcPr>
            <w:tcW w:w="466" w:type="dxa"/>
            <w:shd w:val="clear" w:color="auto" w:fill="EDEDED"/>
          </w:tcPr>
          <w:p>
            <w:pPr>
              <w:spacing w:after="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w="2483" w:type="dxa"/>
            <w:shd w:val="clear" w:color="auto" w:fill="EDEDED"/>
          </w:tcPr>
          <w:p>
            <w:pPr>
              <w:spacing w:after="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Наименование товара</w:t>
            </w:r>
          </w:p>
        </w:tc>
        <w:tc>
          <w:tcPr>
            <w:tcW w:w="1045" w:type="dxa"/>
            <w:shd w:val="clear" w:color="auto" w:fill="EDEDED"/>
          </w:tcPr>
          <w:p>
            <w:pPr>
              <w:spacing w:after="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Ед. изм.</w:t>
            </w:r>
          </w:p>
        </w:tc>
        <w:tc>
          <w:tcPr>
            <w:tcW w:w="784" w:type="dxa"/>
            <w:shd w:val="clear" w:color="auto" w:fill="EDEDED"/>
          </w:tcPr>
          <w:p>
            <w:pPr>
              <w:spacing w:after="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Кол-во</w:t>
            </w:r>
          </w:p>
        </w:tc>
        <w:tc>
          <w:tcPr>
            <w:tcW w:w="1829" w:type="dxa"/>
            <w:shd w:val="clear" w:color="auto" w:fill="EDEDED"/>
          </w:tcPr>
          <w:p>
            <w:pPr>
              <w:spacing w:after="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Цена за ед., ₽</w:t>
            </w:r>
          </w:p>
        </w:tc>
        <w:tc>
          <w:tcPr>
            <w:tcW w:w="1045" w:type="dxa"/>
            <w:shd w:val="clear" w:color="auto" w:fill="EDEDED"/>
          </w:tcPr>
          <w:p>
            <w:pPr>
              <w:spacing w:after="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Сумма, ₽</w:t>
            </w:r>
          </w:p>
        </w:tc>
        <w:tc>
          <w:tcPr>
            <w:tcW w:w="1703" w:type="dxa"/>
            <w:shd w:val="clear" w:color="auto" w:fill="EDEDED"/>
          </w:tcPr>
          <w:p>
            <w:pPr>
              <w:spacing w:after="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Срок поставки</w:t>
            </w:r>
          </w:p>
        </w:tc>
      </w:tr>
      <w:tr>
        <w:trPr>
          <w:cantSplit/>
        </w:trPr>
        <w:tc>
          <w:tcPr>
            <w:tcW w:w="466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2483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[Товар, артикул]</w:t>
            </w:r>
          </w:p>
        </w:tc>
        <w:tc>
          <w:tcPr>
            <w:tcW w:w="1045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[шт.]</w:t>
            </w:r>
          </w:p>
        </w:tc>
        <w:tc>
          <w:tcPr>
            <w:tcW w:w="784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[кол-во]</w:t>
            </w:r>
          </w:p>
        </w:tc>
        <w:tc>
          <w:tcPr>
            <w:tcW w:w="1829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[цена]</w:t>
            </w:r>
          </w:p>
        </w:tc>
        <w:tc>
          <w:tcPr>
            <w:tcW w:w="1045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[сумма]</w:t>
            </w:r>
          </w:p>
        </w:tc>
        <w:tc>
          <w:tcPr>
            <w:tcW w:w="1703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[дата]</w:t>
            </w:r>
          </w:p>
        </w:tc>
      </w:tr>
      <w:tr>
        <w:trPr>
          <w:cantSplit/>
        </w:trPr>
        <w:tc>
          <w:tcPr>
            <w:tcW w:w="466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2483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[Товар, артикул]</w:t>
            </w:r>
          </w:p>
        </w:tc>
        <w:tc>
          <w:tcPr>
            <w:tcW w:w="1045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[шт.]</w:t>
            </w:r>
          </w:p>
        </w:tc>
        <w:tc>
          <w:tcPr>
            <w:tcW w:w="784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[кол-во]</w:t>
            </w:r>
          </w:p>
        </w:tc>
        <w:tc>
          <w:tcPr>
            <w:tcW w:w="1829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[цена]</w:t>
            </w:r>
          </w:p>
        </w:tc>
        <w:tc>
          <w:tcPr>
            <w:tcW w:w="1045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[сумма]</w:t>
            </w:r>
          </w:p>
        </w:tc>
        <w:tc>
          <w:tcPr>
            <w:tcW w:w="1703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[дата]</w:t>
            </w:r>
          </w:p>
        </w:tc>
      </w:tr>
    </w:tbl>
    <w:p>
      <w:pPr>
        <w:spacing w:after="0"/>
      </w:pPr>
    </w:p>
    <w:p>
      <w:pPr>
        <w:jc w:val="both"/>
      </w:pPr>
      <w:r>
        <w:t xml:space="preserve">Итого: </w:t>
      </w:r>
      <w:r>
        <w:t xml:space="preserve">[сумма цифрами]</w:t>
      </w:r>
      <w:r>
        <w:t xml:space="preserve"> (</w:t>
      </w:r>
      <w:r>
        <w:t xml:space="preserve">[сумма прописью]</w:t>
      </w:r>
      <w:r>
        <w:t xml:space="preserve">) рублей, </w:t>
      </w:r>
      <w:r>
        <w:t xml:space="preserve">[в том числе НДС … % — … руб. / НДС не облагается]</w:t>
      </w:r>
      <w:r>
        <w:t xml:space="preserve">.</w:t>
      </w:r>
    </w:p>
    <w:p>
      <w:pPr>
        <w:jc w:val="both"/>
      </w:pPr>
      <w:r>
        <w:t xml:space="preserve">Условия поставки партии: </w:t>
      </w:r>
      <w:r>
        <w:t xml:space="preserve">[адрес доставки, кто оплачивает доставку, срок оплаты партии]</w:t>
      </w:r>
      <w:r>
        <w:t xml:space="preserve">.</w:t>
      </w:r>
    </w:p>
    <w:tbl>
      <w:tblPr>
        <w:tblW w:w="935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20" w:type="dxa"/>
          <w:right w:w="113" w:type="dxa"/>
        </w:tblCellMar>
        <w:tblLook w:val="04A0"/>
      </w:tblPr>
      <w:tblGrid>
        <w:gridCol w:w="4677"/>
        <w:gridCol w:w="4678"/>
      </w:tblGrid>
      <w:tr>
        <w:trPr>
          <w:cantSplit/>
        </w:trPr>
        <w:tc>
          <w:tcPr>
            <w:tcW w:w="4677" w:type="dxa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Поставщик</w:t>
            </w:r>
          </w:p>
        </w:tc>
        <w:tc>
          <w:tcPr>
            <w:tcW w:w="4678" w:type="dxa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Покупатель</w:t>
            </w:r>
          </w:p>
        </w:tc>
      </w:tr>
      <w:tr>
        <w:trPr>
          <w:cantSplit/>
        </w:trPr>
        <w:tc>
          <w:tcPr>
            <w:tcW w:w="4677" w:type="dxa"/>
          </w:tcPr>
          <w:p>
            <w:pPr>
              <w:spacing w:after="0"/>
              <w:jc w:val="left"/>
            </w:pPr>
            <w:r>
              <w:t xml:space="preserve">____________ / </w:t>
            </w:r>
            <w:r>
              <w:t xml:space="preserve">[И. О. Фамилия]</w:t>
            </w:r>
            <w:r>
              <w:t xml:space="preserve"> /</w:t>
            </w:r>
          </w:p>
        </w:tc>
        <w:tc>
          <w:tcPr>
            <w:tcW w:w="4678" w:type="dxa"/>
          </w:tcPr>
          <w:p>
            <w:pPr>
              <w:spacing w:after="0"/>
              <w:jc w:val="left"/>
            </w:pPr>
            <w:r>
              <w:t xml:space="preserve">____________ / </w:t>
            </w:r>
            <w:r>
              <w:t xml:space="preserve">[И. О. Фамилия]</w:t>
            </w:r>
            <w:r>
              <w:t xml:space="preserve"> /</w:t>
            </w:r>
          </w:p>
        </w:tc>
      </w:tr>
    </w:tbl>
    <w:p>
      <w:pPr>
        <w:spacing w:after="0"/>
      </w:pPr>
    </w:p>
    <w:sectPr>
      <w:footerReference w:type="default" r:id="rId4"/>
      <w:pgSz w:w="11906" w:h="16838"/>
      <w:pgMar w:top="1134" w:right="850" w:bottom="1134" w:left="1701" w:header="709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jc w:val="center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–"/>
      <w:lvlJc w:val="left"/>
      <w:pPr>
        <w:ind w:left="567" w:hanging="283"/>
      </w:pPr>
      <w:rPr>
        <w:rFonts w:ascii="Times New Roman" w:hAnsi="Times New Roman" w:cs="Times New Roman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08"/>
  <w:characterSpacingControl w:val="doNotCompress"/>
  <w:compat>
    <w:compatSetting w:name="compatibilityMode" w:uri="http://schemas.microsoft.com/office/word" w:val="15"/>
  </w:compat>
  <w:themeFontLang w:val="ru-RU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keepNext/>
      <w:spacing w:before="0" w:after="60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before="240" w:after="120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spacing w:before="160" w:after="80"/>
      <w:outlineLvl w:val="2"/>
    </w:pPr>
    <w:rPr>
      <w:b/>
      <w:bCs/>
      <w:i/>
      <w:iCs/>
    </w:rPr>
  </w:style>
  <w:style w:type="paragraph" w:styleId="Footer">
    <w:name w:val="footer"/>
    <w:basedOn w:val="Normal"/>
    <w:pPr>
      <w:spacing w:after="0"/>
      <w:jc w:val="center"/>
    </w:pPr>
    <w:rPr>
      <w:sz w:val="20"/>
      <w:szCs w:val="20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numbering" Target="numbering.xml"/><Relationship Id="rId4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Omnex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</dc:title>
  <dc:subject>Образец договора поставки товара — шаблон 2026</dc:subject>
  <dc:creator>Omnex Office</dc:creator>
  <cp:keywords>договор поставки образец</cp:keywords>
  <dc:description>Образец для заполнения. Проверьте текст под вашу ситуацию. Источник: /shablony/dogovor-postavki</dc:description>
  <dc:language>ru-RU</dc:language>
  <dcterms:created xsi:type="dcterms:W3CDTF">2026-09-30T00:00:00Z</dcterms:created>
  <dcterms:modified xsi:type="dcterms:W3CDTF">2026-09-30T00:00:00Z</dcterms:modified>
</cp:coreProperties>
</file>